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E625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019E625C">
      <w:pPr>
        <w:spacing w:line="360" w:lineRule="auto"/>
        <w:jc w:val="center"/>
        <w:rPr>
          <w:rFonts w:ascii="Times New Roman" w:hAnsi="Times New Roman" w:cs="Times New Roman"/>
          <w:iCs/>
        </w:rPr>
      </w:pPr>
      <w:bookmarkStart w:id="12" w:name="_GoBack"/>
      <w:r>
        <w:rPr>
          <w:rFonts w:ascii="Times New Roman" w:hAnsi="Times New Roman" w:cs="Times New Roman"/>
          <w:b/>
          <w:bCs/>
          <w:iCs/>
          <w:color w:val="000000"/>
        </w:rPr>
        <w:t>ANEXO III - ATA DE REGISTRO DE PREÇOS</w:t>
      </w:r>
    </w:p>
    <w:bookmarkEnd w:id="12"/>
    <w:p w14:paraId="019E625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Nº .................</w:t>
      </w:r>
    </w:p>
    <w:p w14:paraId="019E626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  <w:caps/>
        </w:rPr>
        <w:t>o</w:t>
      </w:r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b/>
          <w:bCs/>
          <w:iCs/>
        </w:rPr>
        <w:t>MUNICÍPIO DE NOVA SOURE - BA</w:t>
      </w:r>
      <w:r>
        <w:rPr>
          <w:rFonts w:ascii="Times New Roman" w:hAnsi="Times New Roman" w:cs="Times New Roman"/>
          <w:iCs/>
        </w:rPr>
        <w:t xml:space="preserve">, pessoa jurídica de direito público interno, com sede a Rua Natuba – Centro, s/n - Nova Soure - Bahia, inscrito no CNPJ sob o nº 13.904.420/0001-44, neste ato representado por seu Prefeito, o Sr.xxxxxxxxxxxxxxxxx, nacionalidade, portador da Cédula de Identidade nº xxxxxxxxxxxx e inscrito no CPF nº xxxxxxxxxxxxxxxxx, considerando o julgamento da licitação na modalidade de pregão, na forma eletrônica, para REGISTRO DE PREÇOS nº ......./2024, publicada no ...... de ...../...../2024, processo administrativo nº ........, RESOLVE registrar os preços da(s)  empresa(s) indicada(s) e qualificada(s) nesta ATA, de acordo com a classificação por ela(s) alcançada(s) e na(s)  quantidade(s)  cotada(s), atendendo as condições previstas no </w:t>
      </w:r>
      <w:r>
        <w:rPr>
          <w:rFonts w:ascii="Times New Roman" w:hAnsi="Times New Roman" w:cs="Times New Roman"/>
          <w:iCs/>
          <w:color w:val="FF0000"/>
        </w:rPr>
        <w:t>Edital de licitação</w:t>
      </w:r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  <w:color w:val="FF0000"/>
        </w:rPr>
        <w:t>ou Aviso da Contratação Direta</w:t>
      </w:r>
      <w:r>
        <w:rPr>
          <w:rFonts w:ascii="Times New Roman" w:hAnsi="Times New Roman" w:cs="Times New Roman"/>
          <w:iCs/>
        </w:rPr>
        <w:t>, sujeitando-se as partes às normas constantes na Lei nº 14.133, de 1º de abril de 2021, Resolução nº 02/2024 e em conformidade com as disposições a seguir:</w:t>
      </w:r>
    </w:p>
    <w:p w14:paraId="019E6263">
      <w:pPr>
        <w:pStyle w:val="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DO OBJETO</w:t>
      </w:r>
    </w:p>
    <w:p w14:paraId="019E6264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 presente Ata tem por objeto o registro de preços para a eventual contratação de ........ , especificado(s) no(s) item(ns).......... do .......... Termo de Referência, anexo </w:t>
      </w:r>
      <w:r>
        <w:rPr>
          <w:rFonts w:ascii="Times New Roman" w:hAnsi="Times New Roman" w:cs="Times New Roman"/>
          <w:iCs/>
          <w:color w:val="FF0000"/>
          <w:sz w:val="24"/>
          <w:szCs w:val="24"/>
        </w:rPr>
        <w:t>...... [do edital de Licitação nº ........../20...] ou [do Aviso da Contratação Direta nº]</w:t>
      </w:r>
      <w:r>
        <w:rPr>
          <w:rFonts w:ascii="Times New Roman" w:hAnsi="Times New Roman" w:cs="Times New Roman"/>
          <w:iCs/>
          <w:sz w:val="24"/>
          <w:szCs w:val="24"/>
        </w:rPr>
        <w:t>, que é parte integrante desta Ata, assim como as propostas cujos preços tenham sido registrados, independentemente de transcrição.</w:t>
      </w:r>
    </w:p>
    <w:p w14:paraId="019E6266">
      <w:pPr>
        <w:pStyle w:val="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DOS PREÇOS, ESPECIFICAÇÕES E QUANTITATIVOS</w:t>
      </w:r>
    </w:p>
    <w:p w14:paraId="019E6267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Style w:val="4"/>
        <w:tblW w:w="9392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9"/>
        <w:gridCol w:w="1121"/>
        <w:gridCol w:w="1253"/>
        <w:gridCol w:w="1541"/>
        <w:gridCol w:w="1121"/>
        <w:gridCol w:w="1121"/>
        <w:gridCol w:w="841"/>
        <w:gridCol w:w="841"/>
        <w:gridCol w:w="844"/>
      </w:tblGrid>
      <w:tr w14:paraId="019E62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9E6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Item</w:t>
            </w:r>
          </w:p>
          <w:p w14:paraId="019E62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do</w:t>
            </w:r>
          </w:p>
          <w:p w14:paraId="019E626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TR</w:t>
            </w:r>
          </w:p>
        </w:tc>
        <w:tc>
          <w:tcPr>
            <w:tcW w:w="8683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19E626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Fornecedor </w:t>
            </w:r>
            <w:r>
              <w:rPr>
                <w:rFonts w:ascii="Times New Roman" w:hAnsi="Times New Roman" w:cs="Times New Roman"/>
                <w:iCs/>
                <w:color w:val="FF0000"/>
              </w:rPr>
              <w:t>(razão social, CNPJ/MF, endereço, contatos, representante)</w:t>
            </w:r>
          </w:p>
          <w:p w14:paraId="019E626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14:paraId="019E62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4" w:hRule="atLeast"/>
        </w:trPr>
        <w:tc>
          <w:tcPr>
            <w:tcW w:w="70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vAlign w:val="center"/>
          </w:tcPr>
          <w:p w14:paraId="019E626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X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6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Marca </w:t>
            </w:r>
          </w:p>
          <w:p w14:paraId="019E62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Modelo</w:t>
            </w:r>
          </w:p>
          <w:p w14:paraId="019E627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942293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19E627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Prazo garantia ou validade</w:t>
            </w:r>
          </w:p>
        </w:tc>
      </w:tr>
      <w:tr w14:paraId="019E628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" w:hRule="atLeast"/>
        </w:trPr>
        <w:tc>
          <w:tcPr>
            <w:tcW w:w="70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BFD41F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19E628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</w:tbl>
    <w:p w14:paraId="7764CF22">
      <w:pPr>
        <w:spacing w:line="360" w:lineRule="auto"/>
        <w:rPr>
          <w:rFonts w:ascii="Times New Roman" w:hAnsi="Times New Roman" w:cs="Times New Roman"/>
          <w:iCs/>
          <w:lang w:eastAsia="en-US"/>
        </w:rPr>
      </w:pPr>
    </w:p>
    <w:p w14:paraId="1DF944BA">
      <w:pPr>
        <w:pStyle w:val="32"/>
        <w:rPr>
          <w:rFonts w:ascii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iCs/>
          <w:sz w:val="24"/>
          <w:szCs w:val="24"/>
          <w:lang w:eastAsia="en-US"/>
        </w:rPr>
        <w:t>A listagem do cadastro de reserva referente ao presente registro de preços consta como anexo a esta Ata.</w:t>
      </w:r>
    </w:p>
    <w:p w14:paraId="019E6285">
      <w:pPr>
        <w:pStyle w:val="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ÓRGÃO(S) GERENCIADOR E PARTICIPANTE(S)</w:t>
      </w:r>
    </w:p>
    <w:p w14:paraId="6D0D0D80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O órgão gerenciador será o Fundo Municipal de Saúde. </w:t>
      </w:r>
    </w:p>
    <w:p w14:paraId="2233C2B5">
      <w:pPr>
        <w:pStyle w:val="26"/>
        <w:rPr>
          <w:rFonts w:ascii="Times New Roman" w:hAnsi="Times New Roman" w:cs="Times New Roman"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DA ADESÃO À ATA DE REGISTRO DE PREÇOS </w:t>
      </w:r>
    </w:p>
    <w:p w14:paraId="36C15EB0">
      <w:pPr>
        <w:pStyle w:val="34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 w14:paraId="04794953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 adesão à ata de registro de preços por órgãos e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dades da Administração Pública estadual, distrital e municipal poderá ser exigida para fins de transferências voluntárias, não ficando sujeita ao limite de que trata o item 4.7, desde que seja des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>
      <w:pPr>
        <w:pStyle w:val="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Vedação a acréscimo de quantitativos</w:t>
      </w:r>
    </w:p>
    <w:p w14:paraId="6CB508D3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É vedado efetuar acréscimos nos quantitativos fixados na ata de registro de preços.</w:t>
      </w:r>
    </w:p>
    <w:p w14:paraId="45D70150">
      <w:pPr>
        <w:pStyle w:val="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VALIDADE, FORMALIZAÇÃO DA ATA DE REGISTRO DE PREÇOS E CADASTRO RESERVA</w:t>
      </w:r>
    </w:p>
    <w:p w14:paraId="0C7D0A38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 w14:paraId="5A58175E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 w14:paraId="523A4786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 contratação com os fornecedores registrados na ata será formalizada pelo órgão ou pela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4F93CF05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O instrumento contratual de que trata o item 5.2. deverá ser assinado no prazo de validade da ata de registro de preços.</w:t>
      </w:r>
    </w:p>
    <w:p w14:paraId="15E6BD44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Os contratos decorrentes do sistema de registro de preços poderão ser alterados, observado o art. 124 da Lei nº 14.133, de 2021.</w:t>
      </w:r>
    </w:p>
    <w:p w14:paraId="0B9BF2D6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Após a homologação da licitação ou da contratação direta, deverão ser observadas as seguintes condições para formalização da ata de registro de preços:</w:t>
      </w:r>
    </w:p>
    <w:p w14:paraId="78BFA387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Serão registrados na ata os preços e os quantita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vos do adjudicatário, devendo ser observada a possibilidade de o licitante oferecer ou não proposta em quantitativo inferior ao máximo previsto no edital e se obrigar nos limites dela;</w:t>
      </w:r>
    </w:p>
    <w:p w14:paraId="1CAE1F5C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Será incluído na ata, na forma de anexo, o registro dos licitantes ou dos fornecedores que:</w:t>
      </w:r>
    </w:p>
    <w:p w14:paraId="24F8D5B4">
      <w:pPr>
        <w:pStyle w:val="41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Aceitarem cotar os bens, as obras ou os serviços com preços iguais aos do adjudicatário, observada a classificação da licitação; e </w:t>
      </w:r>
    </w:p>
    <w:p w14:paraId="39E6DD0C">
      <w:pPr>
        <w:pStyle w:val="41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Mantiverem sua proposta original. </w:t>
      </w:r>
      <w:bookmarkStart w:id="0" w:name="cadastro_reserva"/>
      <w:bookmarkEnd w:id="0"/>
    </w:p>
    <w:p w14:paraId="52814D94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Será respeitada, nas contratações, a ordem de classificação dos licitantes ou dos fornecedores registrados na ata.</w:t>
      </w:r>
    </w:p>
    <w:p w14:paraId="5388A8AF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 registro a que se refere o item 5.4.2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tem por obje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vo a formação de cadastro de reserva para o caso de impossibilidade de atendimento pelo signatário da ata.</w:t>
      </w:r>
    </w:p>
    <w:p w14:paraId="64967A7E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Para fins da ordem de classificação, os licitantes ou fornecedores que aceitarem reduzir suas propostas para o preço do adjudicatário antecederão aqueles que mantiverem sua proposta original.</w:t>
      </w:r>
    </w:p>
    <w:p w14:paraId="76B7AB52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 habilitação dos licitantes que comporão o cadastro de reserva a que se refere o item </w:t>
      </w:r>
      <w:r>
        <w:rPr>
          <w:rFonts w:ascii="Times New Roman" w:hAnsi="Times New Roman" w:cs="Times New Roman"/>
          <w:iCs/>
          <w:sz w:val="24"/>
          <w:szCs w:val="24"/>
        </w:rPr>
        <w:fldChar w:fldCharType="begin"/>
      </w:r>
      <w:r>
        <w:rPr>
          <w:rFonts w:ascii="Times New Roman" w:hAnsi="Times New Roman" w:cs="Times New Roman"/>
          <w:iCs/>
          <w:sz w:val="24"/>
          <w:szCs w:val="24"/>
        </w:rPr>
        <w:instrText xml:space="preserve"> REF cadastro_reserva \r \h  \* MERGEFORMAT </w:instrText>
      </w:r>
      <w:r>
        <w:rPr>
          <w:rFonts w:ascii="Times New Roman" w:hAnsi="Times New Roman" w:cs="Times New Roman"/>
          <w:iCs/>
          <w:sz w:val="24"/>
          <w:szCs w:val="24"/>
        </w:rPr>
        <w:fldChar w:fldCharType="separate"/>
      </w:r>
      <w:r>
        <w:rPr>
          <w:rFonts w:ascii="Times New Roman" w:hAnsi="Times New Roman" w:cs="Times New Roman"/>
          <w:iCs/>
          <w:sz w:val="24"/>
          <w:szCs w:val="24"/>
        </w:rPr>
        <w:t>5.4.2.2</w:t>
      </w:r>
      <w:r>
        <w:rPr>
          <w:rFonts w:ascii="Times New Roman" w:hAnsi="Times New Roman" w:cs="Times New Roman"/>
          <w:iCs/>
          <w:sz w:val="24"/>
          <w:szCs w:val="24"/>
        </w:rPr>
        <w:fldChar w:fldCharType="end"/>
      </w:r>
      <w:r>
        <w:rPr>
          <w:rFonts w:ascii="Times New Roman" w:hAnsi="Times New Roman" w:cs="Times New Roman"/>
          <w:iCs/>
          <w:sz w:val="24"/>
          <w:szCs w:val="24"/>
        </w:rPr>
        <w:t xml:space="preserve"> somente será efetuada quando houver necessidade de contratação dos licitantes remanescentes, nas seguintes hipóteses:</w:t>
      </w:r>
      <w:bookmarkStart w:id="1" w:name="habilitacao_reserva"/>
      <w:bookmarkEnd w:id="1"/>
    </w:p>
    <w:p w14:paraId="4D622CF1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Quando o licitante vencedor não assinar a ata de registro de preços, no prazo e nas condições estabelecidos no edital</w:t>
      </w:r>
    </w:p>
    <w:p w14:paraId="4B70C4C1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Quando houver o cancelamento do registro do licitante ou do registro de preços nas hipóteses previstas no item </w:t>
      </w:r>
      <w:r>
        <w:rPr>
          <w:rFonts w:ascii="Times New Roman" w:hAnsi="Times New Roman" w:cs="Times New Roman"/>
          <w:iCs/>
          <w:sz w:val="24"/>
          <w:szCs w:val="24"/>
        </w:rPr>
        <w:fldChar w:fldCharType="begin"/>
      </w:r>
      <w:r>
        <w:rPr>
          <w:rFonts w:ascii="Times New Roman" w:hAnsi="Times New Roman" w:cs="Times New Roman"/>
          <w:iCs/>
          <w:sz w:val="24"/>
          <w:szCs w:val="24"/>
        </w:rPr>
        <w:instrText xml:space="preserve"> REF cancelamento \r \h  \* MERGEFORMAT </w:instrText>
      </w:r>
      <w:r>
        <w:rPr>
          <w:rFonts w:ascii="Times New Roman" w:hAnsi="Times New Roman" w:cs="Times New Roman"/>
          <w:iCs/>
          <w:sz w:val="24"/>
          <w:szCs w:val="24"/>
        </w:rPr>
        <w:fldChar w:fldCharType="separate"/>
      </w:r>
      <w:r>
        <w:rPr>
          <w:rFonts w:ascii="Times New Roman" w:hAnsi="Times New Roman" w:cs="Times New Roman"/>
          <w:iCs/>
          <w:sz w:val="24"/>
          <w:szCs w:val="24"/>
        </w:rPr>
        <w:t>9</w:t>
      </w:r>
      <w:r>
        <w:rPr>
          <w:rFonts w:ascii="Times New Roman" w:hAnsi="Times New Roman" w:cs="Times New Roman"/>
          <w:iCs/>
          <w:sz w:val="24"/>
          <w:szCs w:val="24"/>
        </w:rPr>
        <w:fldChar w:fldCharType="end"/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0B89A962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 preço registrado com indicação dos licitantes e fornecedores será divulgado no PNCP e ficará disponibilizado durante a vigência da ata de registro de preços.</w:t>
      </w:r>
    </w:p>
    <w:p w14:paraId="2CC723F4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 w14:paraId="608224C3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 ata de registro de preços será assinada por meio de assinatura digital e disponibilizada no Sistema de Registro de Preços.</w:t>
      </w:r>
    </w:p>
    <w:p w14:paraId="76BC3AD9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Quando o convocado não assinar a ata de registro de preços no prazo e nas condições estabelecidos no edital ou no aviso de contratação, e observado o disposto no item </w:t>
      </w:r>
      <w:r>
        <w:rPr>
          <w:rFonts w:ascii="Times New Roman" w:hAnsi="Times New Roman" w:cs="Times New Roman"/>
          <w:iCs/>
          <w:sz w:val="24"/>
          <w:szCs w:val="24"/>
        </w:rPr>
        <w:fldChar w:fldCharType="begin"/>
      </w:r>
      <w:r>
        <w:rPr>
          <w:rFonts w:ascii="Times New Roman" w:hAnsi="Times New Roman" w:cs="Times New Roman"/>
          <w:iCs/>
          <w:sz w:val="24"/>
          <w:szCs w:val="24"/>
        </w:rPr>
        <w:instrText xml:space="preserve"> REF habilitacao_reserva \r \h  \* MERGEFORMAT </w:instrText>
      </w:r>
      <w:r>
        <w:rPr>
          <w:rFonts w:ascii="Times New Roman" w:hAnsi="Times New Roman" w:cs="Times New Roman"/>
          <w:iCs/>
          <w:sz w:val="24"/>
          <w:szCs w:val="24"/>
        </w:rPr>
        <w:fldChar w:fldCharType="separate"/>
      </w:r>
      <w:r>
        <w:rPr>
          <w:rFonts w:ascii="Times New Roman" w:hAnsi="Times New Roman" w:cs="Times New Roman"/>
          <w:iCs/>
          <w:sz w:val="24"/>
          <w:szCs w:val="24"/>
        </w:rPr>
        <w:t>5.7</w:t>
      </w:r>
      <w:r>
        <w:rPr>
          <w:rFonts w:ascii="Times New Roman" w:hAnsi="Times New Roman" w:cs="Times New Roman"/>
          <w:iCs/>
          <w:sz w:val="24"/>
          <w:szCs w:val="24"/>
        </w:rPr>
        <w:fldChar w:fldCharType="end"/>
      </w:r>
      <w:r>
        <w:rPr>
          <w:rFonts w:ascii="Times New Roman" w:hAnsi="Times New Roman" w:cs="Times New Roman"/>
          <w:iCs/>
          <w:sz w:val="24"/>
          <w:szCs w:val="24"/>
        </w:rPr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  <w:bookmarkStart w:id="2" w:name="recusa_dos_que_baixaram_preco"/>
      <w:bookmarkEnd w:id="2"/>
    </w:p>
    <w:p w14:paraId="64CEC3C1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hipótese de nenhum dos licitantes que trata o item 5.4.2.1, aceitar a contratação nos termos do item anterior, a Administração, observados o valor es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mado e sua eventual atualização nos termos do edital, poderá:</w:t>
      </w:r>
    </w:p>
    <w:p w14:paraId="79C12214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13F053D4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Adjudicar e firmar o contrato nas condições ofertadas pelos licitantes ou fornecedores remanescentes, atendida a ordem classificatória, quando frustrada a negociação de melhor condição.</w:t>
      </w:r>
    </w:p>
    <w:p w14:paraId="60FE41DD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4ADC6EDF">
      <w:pPr>
        <w:pStyle w:val="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ALTERAÇÃO OU ATUALIZAÇÃO DOS PREÇOS REGISTRADOS</w:t>
      </w:r>
    </w:p>
    <w:p w14:paraId="42E111BD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Os preços registrados poderão ser alterados ou atualizados em decorrência de eventual redução dos preços pra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cados no mercado ou de fato que eleve o custo dos bens, das obras ou dos serviços registrados, nas seguintes situações:</w:t>
      </w:r>
    </w:p>
    <w:p w14:paraId="48BC3AB0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rFonts w:ascii="Times New Roman" w:hAnsi="Times New Roman" w:cs="Times New Roman"/>
          <w:iCs/>
          <w:color w:val="0000EF"/>
          <w:sz w:val="24"/>
          <w:szCs w:val="24"/>
        </w:rPr>
        <w:t>alínea “d” do inciso II do caput do art. 124 da Lei nº 14.133, de 2021;</w:t>
      </w:r>
    </w:p>
    <w:p w14:paraId="1743AA25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Em caso de criação, alteração ou ex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 xml:space="preserve">nção de quaisquer tributos ou encargos legais ou a superveniência de disposições legais, com comprovada repercussão sobre os preços registrados; </w:t>
      </w:r>
    </w:p>
    <w:p w14:paraId="5037F3EC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hipótese de previsão no edital ou no aviso de contratação direta de cláusula de reajustamento ou repactuação sobre os preços registrados, nos termos da Lei nº 14.133, de 2021.</w:t>
      </w:r>
    </w:p>
    <w:p w14:paraId="096545F9">
      <w:pPr>
        <w:pStyle w:val="41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No caso do reajustamento, deverá ser respeitada a contagem da anualidade e o índice previstos para a contratação;  </w:t>
      </w:r>
    </w:p>
    <w:p w14:paraId="5AE023B8">
      <w:pPr>
        <w:pStyle w:val="41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No caso da repactuação, poderá ser a pedido do interessado, conforme critérios definidos para a contratação.</w:t>
      </w:r>
    </w:p>
    <w:p w14:paraId="66B1F5B6">
      <w:pPr>
        <w:pStyle w:val="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NEGOCIAÇÃO DE PREÇOS REGISTRADOS</w:t>
      </w:r>
    </w:p>
    <w:p w14:paraId="4AB7D33F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hipótese de o preço registrado tornar-se superior ao preço pra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cado no mercado por mo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vo superveniente, o órgão ou en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gerenciadora convocará o fornecedor para negociar a redução do preço registrado.</w:t>
      </w:r>
    </w:p>
    <w:p w14:paraId="0FEBFC00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Caso não aceite reduzir seu preço aos valores pra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3264B9C7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 w14:paraId="0DD5BC6C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Se não obtiver êxito nas negociações, o órgão ou en</w:t>
      </w:r>
      <w:r>
        <w:rPr>
          <w:rFonts w:ascii="Times New Roman" w:hAnsi="Times New Roman" w:eastAsia="Calibri" w:cs="Times New Roman"/>
          <w:iCs/>
          <w:sz w:val="24"/>
          <w:szCs w:val="24"/>
        </w:rPr>
        <w:t>tid</w:t>
      </w:r>
      <w:r>
        <w:rPr>
          <w:rFonts w:ascii="Times New Roman" w:hAnsi="Times New Roman" w:cs="Times New Roman"/>
          <w:iCs/>
          <w:sz w:val="24"/>
          <w:szCs w:val="24"/>
        </w:rPr>
        <w:t>ade gerenciadora procederá ao cancelamento da ata de registro de preços, adotando as medidas cabíveis para obtenção de contratação mais vantajosa.</w:t>
      </w:r>
      <w:bookmarkStart w:id="3" w:name="reducao_preco_mercado_negociacao_frustra"/>
      <w:bookmarkEnd w:id="3"/>
    </w:p>
    <w:p w14:paraId="1163DF56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hipótese de redução do preço registrado, o gerenciador comunicará aos órgãos e às en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 xml:space="preserve">dades que 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69C100F0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4" w:name="hipotese_preco_mercado_maior"/>
      <w:bookmarkEnd w:id="4"/>
    </w:p>
    <w:p w14:paraId="68CBC057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5" w:name="prova_preco_mercado_maior"/>
      <w:bookmarkEnd w:id="5"/>
    </w:p>
    <w:p w14:paraId="50ED96CE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Não hipótese de não comprovação da existência de fato superveniente que inviabilize o preço registrado, o pedido será indeferido pelo órgão ou en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 xml:space="preserve">dade gerenciadora e o fornecedor deverá cumprir as obrigações estabelecidas na ata, sob pena de cancelamento do seu registro, nos termos do item </w:t>
      </w:r>
      <w:r>
        <w:rPr>
          <w:rFonts w:ascii="Times New Roman" w:hAnsi="Times New Roman" w:cs="Times New Roman"/>
          <w:iCs/>
          <w:sz w:val="24"/>
          <w:szCs w:val="24"/>
        </w:rPr>
        <w:fldChar w:fldCharType="begin"/>
      </w:r>
      <w:r>
        <w:rPr>
          <w:rFonts w:ascii="Times New Roman" w:hAnsi="Times New Roman" w:cs="Times New Roman"/>
          <w:iCs/>
          <w:sz w:val="24"/>
          <w:szCs w:val="24"/>
        </w:rPr>
        <w:instrText xml:space="preserve"> REF cancelamento_do_fornecedor \r \h  \* MERGEFORMAT </w:instrText>
      </w:r>
      <w:r>
        <w:rPr>
          <w:rFonts w:ascii="Times New Roman" w:hAnsi="Times New Roman" w:cs="Times New Roman"/>
          <w:iCs/>
          <w:sz w:val="24"/>
          <w:szCs w:val="24"/>
        </w:rPr>
        <w:fldChar w:fldCharType="separate"/>
      </w:r>
      <w:r>
        <w:rPr>
          <w:rFonts w:ascii="Times New Roman" w:hAnsi="Times New Roman" w:cs="Times New Roman"/>
          <w:iCs/>
          <w:sz w:val="24"/>
          <w:szCs w:val="24"/>
        </w:rPr>
        <w:t>9.1</w:t>
      </w:r>
      <w:r>
        <w:rPr>
          <w:rFonts w:ascii="Times New Roman" w:hAnsi="Times New Roman" w:cs="Times New Roman"/>
          <w:iCs/>
          <w:sz w:val="24"/>
          <w:szCs w:val="24"/>
        </w:rPr>
        <w:fldChar w:fldCharType="end"/>
      </w:r>
      <w:r>
        <w:rPr>
          <w:rFonts w:ascii="Times New Roman" w:hAnsi="Times New Roman" w:cs="Times New Roman"/>
          <w:iCs/>
          <w:sz w:val="24"/>
          <w:szCs w:val="24"/>
        </w:rPr>
        <w:t>, sem prejuízo das sanções previstas na Lei nº 14.133, de 2021, e na legislação aplicável.</w:t>
      </w:r>
      <w:bookmarkStart w:id="6" w:name="nao_comprovacao_majoracao_mercado"/>
      <w:bookmarkEnd w:id="6"/>
    </w:p>
    <w:p w14:paraId="6B3E8874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 w14:paraId="5163E6FC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>
        <w:rPr>
          <w:rFonts w:ascii="Times New Roman" w:hAnsi="Times New Roman" w:cs="Times New Roman"/>
          <w:iCs/>
          <w:sz w:val="24"/>
          <w:szCs w:val="24"/>
        </w:rPr>
        <w:fldChar w:fldCharType="begin"/>
      </w:r>
      <w:r>
        <w:rPr>
          <w:rFonts w:ascii="Times New Roman" w:hAnsi="Times New Roman" w:cs="Times New Roman"/>
          <w:iCs/>
          <w:sz w:val="24"/>
          <w:szCs w:val="24"/>
        </w:rPr>
        <w:instrText xml:space="preserve"> REF cancelamento_da_ata \r \h  \* MERGEFORMAT </w:instrText>
      </w:r>
      <w:r>
        <w:rPr>
          <w:rFonts w:ascii="Times New Roman" w:hAnsi="Times New Roman" w:cs="Times New Roman"/>
          <w:iCs/>
          <w:sz w:val="24"/>
          <w:szCs w:val="24"/>
        </w:rPr>
        <w:fldChar w:fldCharType="separate"/>
      </w:r>
      <w:r>
        <w:rPr>
          <w:rFonts w:ascii="Times New Roman" w:hAnsi="Times New Roman" w:cs="Times New Roman"/>
          <w:iCs/>
          <w:sz w:val="24"/>
          <w:szCs w:val="24"/>
        </w:rPr>
        <w:t>9.4</w:t>
      </w:r>
      <w:r>
        <w:rPr>
          <w:rFonts w:ascii="Times New Roman" w:hAnsi="Times New Roman" w:cs="Times New Roman"/>
          <w:iCs/>
          <w:sz w:val="24"/>
          <w:szCs w:val="24"/>
        </w:rPr>
        <w:fldChar w:fldCharType="end"/>
      </w:r>
      <w:r>
        <w:rPr>
          <w:rFonts w:ascii="Times New Roman" w:hAnsi="Times New Roman" w:cs="Times New Roman"/>
          <w:iCs/>
          <w:sz w:val="24"/>
          <w:szCs w:val="24"/>
        </w:rPr>
        <w:t>, e adotará as medidas cabíveis para a obtenção da contratação mais vantajosa.</w:t>
      </w:r>
      <w:bookmarkStart w:id="7" w:name="majora_preco_mercado_negociacao_frustra"/>
      <w:bookmarkEnd w:id="7"/>
    </w:p>
    <w:p w14:paraId="6A17F246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Na hipótese de comprovação da majoração do preço de mercado que inviabilize o preço registrado, conforme previsto no item </w:t>
      </w:r>
      <w:r>
        <w:rPr>
          <w:rFonts w:ascii="Times New Roman" w:hAnsi="Times New Roman" w:cs="Times New Roman"/>
          <w:iCs/>
          <w:sz w:val="24"/>
          <w:szCs w:val="24"/>
        </w:rPr>
        <w:fldChar w:fldCharType="begin"/>
      </w:r>
      <w:r>
        <w:rPr>
          <w:rFonts w:ascii="Times New Roman" w:hAnsi="Times New Roman" w:cs="Times New Roman"/>
          <w:iCs/>
          <w:sz w:val="24"/>
          <w:szCs w:val="24"/>
        </w:rPr>
        <w:instrText xml:space="preserve"> REF hipotese_preco_mercado_maior \r \h  \* MERGEFORMAT </w:instrText>
      </w:r>
      <w:r>
        <w:rPr>
          <w:rFonts w:ascii="Times New Roman" w:hAnsi="Times New Roman" w:cs="Times New Roman"/>
          <w:iCs/>
          <w:sz w:val="24"/>
          <w:szCs w:val="24"/>
        </w:rPr>
        <w:fldChar w:fldCharType="separate"/>
      </w:r>
      <w:r>
        <w:rPr>
          <w:rFonts w:ascii="Times New Roman" w:hAnsi="Times New Roman" w:cs="Times New Roman"/>
          <w:iCs/>
          <w:sz w:val="24"/>
          <w:szCs w:val="24"/>
        </w:rPr>
        <w:t>7.2</w:t>
      </w:r>
      <w:r>
        <w:rPr>
          <w:rFonts w:ascii="Times New Roman" w:hAnsi="Times New Roman" w:cs="Times New Roman"/>
          <w:iCs/>
          <w:sz w:val="24"/>
          <w:szCs w:val="24"/>
        </w:rPr>
        <w:fldChar w:fldCharType="end"/>
      </w:r>
      <w:r>
        <w:rPr>
          <w:rFonts w:ascii="Times New Roman" w:hAnsi="Times New Roman" w:cs="Times New Roman"/>
          <w:iCs/>
          <w:sz w:val="24"/>
          <w:szCs w:val="24"/>
        </w:rPr>
        <w:t xml:space="preserve"> e no item </w:t>
      </w:r>
      <w:r>
        <w:rPr>
          <w:rFonts w:ascii="Times New Roman" w:hAnsi="Times New Roman" w:cs="Times New Roman"/>
          <w:iCs/>
          <w:sz w:val="24"/>
          <w:szCs w:val="24"/>
        </w:rPr>
        <w:fldChar w:fldCharType="begin"/>
      </w:r>
      <w:r>
        <w:rPr>
          <w:rFonts w:ascii="Times New Roman" w:hAnsi="Times New Roman" w:cs="Times New Roman"/>
          <w:iCs/>
          <w:sz w:val="24"/>
          <w:szCs w:val="24"/>
        </w:rPr>
        <w:instrText xml:space="preserve"> REF prova_preco_mercado_maior \r \h  \* MERGEFORMAT </w:instrText>
      </w:r>
      <w:r>
        <w:rPr>
          <w:rFonts w:ascii="Times New Roman" w:hAnsi="Times New Roman" w:cs="Times New Roman"/>
          <w:iCs/>
          <w:sz w:val="24"/>
          <w:szCs w:val="24"/>
        </w:rPr>
        <w:fldChar w:fldCharType="separate"/>
      </w:r>
      <w:r>
        <w:rPr>
          <w:rFonts w:ascii="Times New Roman" w:hAnsi="Times New Roman" w:cs="Times New Roman"/>
          <w:iCs/>
          <w:sz w:val="24"/>
          <w:szCs w:val="24"/>
        </w:rPr>
        <w:t>7.2.1</w:t>
      </w:r>
      <w:r>
        <w:rPr>
          <w:rFonts w:ascii="Times New Roman" w:hAnsi="Times New Roman" w:cs="Times New Roman"/>
          <w:iCs/>
          <w:sz w:val="24"/>
          <w:szCs w:val="24"/>
        </w:rPr>
        <w:fldChar w:fldCharType="end"/>
      </w:r>
      <w:r>
        <w:rPr>
          <w:rFonts w:ascii="Times New Roman" w:hAnsi="Times New Roman" w:cs="Times New Roman"/>
          <w:iCs/>
          <w:sz w:val="24"/>
          <w:szCs w:val="24"/>
        </w:rPr>
        <w:t>, o órgão ou en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gerenciadora atualizará o preço registrado, de acordo com a realidade dos valores praticados pelo mercado.</w:t>
      </w:r>
    </w:p>
    <w:p w14:paraId="4EC9460A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O órgão ou en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gerenciadora comunicará aos órgãos e às en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 xml:space="preserve">dades que 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verem firmado contratos decorrentes da ata de registro de preços sobre a efe</w:t>
      </w:r>
      <w:r>
        <w:rPr>
          <w:rFonts w:ascii="Times New Roman" w:hAnsi="Times New Roman" w:eastAsia="Calibri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2C2E8136">
      <w:pPr>
        <w:pStyle w:val="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REMANEJAMENTO DAS QUANTIDADES REGISTRADAS NA ATA DE REGISTRO DE PREÇOS</w:t>
      </w:r>
    </w:p>
    <w:p w14:paraId="631C05D3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As quan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dades previstas para os itens com preços registrados nas atas de registro de preços poderão ser remanejadas pelo órgão ou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gerenciadora entre os órgãos ou as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dades par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cipantes e não par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cipantes do registro de preços.</w:t>
      </w:r>
    </w:p>
    <w:p w14:paraId="0079F2A2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O remanejamento somente poderá ser feito:</w:t>
      </w:r>
    </w:p>
    <w:p w14:paraId="516348C3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De órgão ou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par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cipante para órgão ou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par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cipante; ou</w:t>
      </w:r>
    </w:p>
    <w:p w14:paraId="40DDD23C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De órgão ou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par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cipante para órgão ou entidade não participante.</w:t>
      </w:r>
    </w:p>
    <w:p w14:paraId="4566EFC5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 órgão ou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gerenciadora que tiver es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mado as quan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hipótese de remanejamento de órgão ou entidade par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cipante para órgão ou entidade não participante, serão observados os limites previstos no art. 32 do Decreto nº 11.462, de 2023.</w:t>
      </w:r>
    </w:p>
    <w:p w14:paraId="43462D53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Competirá ao órgão ou à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gerenciadora autorizar o remanejamento solicitado, com a redução do quan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ta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vo inicialmente informado pelo órgão ou pela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par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cipante, desde que haja prévia anuência do órgão ou da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que sofrer redução dos quantitativos informados.</w:t>
      </w:r>
    </w:p>
    <w:p w14:paraId="69796CE1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Caso o remanejamento seja feito entre órgãos ou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dades dos Estados, do Distrito Federal ou de Municípios dis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ntos, caberá ao fornecedor beneficiário da ata de registro de preços, observadas as condições nela estabelecidas, optar pela aceitação ou não do fornecimento decorrente do remanejamento dos itens.</w:t>
      </w:r>
    </w:p>
    <w:p w14:paraId="4A3ACF19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hipótese da compra centralizada, não havendo indicação pelo órgão ou pela en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dade gerenciadora, dos quan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ta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vos dos par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 xml:space="preserve">cipantes da compra centralizada, nos termos do item </w:t>
      </w:r>
      <w:r>
        <w:rPr>
          <w:rFonts w:ascii="Times New Roman" w:hAnsi="Times New Roman" w:cs="Times New Roman"/>
          <w:iCs/>
          <w:sz w:val="24"/>
          <w:szCs w:val="24"/>
        </w:rPr>
        <w:fldChar w:fldCharType="begin"/>
      </w:r>
      <w:r>
        <w:rPr>
          <w:rFonts w:ascii="Times New Roman" w:hAnsi="Times New Roman" w:cs="Times New Roman"/>
          <w:iCs/>
          <w:sz w:val="24"/>
          <w:szCs w:val="24"/>
        </w:rPr>
        <w:instrText xml:space="preserve"> REF gerenciador_estimador_é_partic_em_remane \r \h  \* MERGEFORMAT </w:instrText>
      </w:r>
      <w:r>
        <w:rPr>
          <w:rFonts w:ascii="Times New Roman" w:hAnsi="Times New Roman" w:cs="Times New Roman"/>
          <w:iCs/>
          <w:sz w:val="24"/>
          <w:szCs w:val="24"/>
        </w:rPr>
        <w:fldChar w:fldCharType="separate"/>
      </w:r>
      <w:r>
        <w:rPr>
          <w:rFonts w:ascii="Times New Roman" w:hAnsi="Times New Roman" w:cs="Times New Roman"/>
          <w:iCs/>
          <w:sz w:val="24"/>
          <w:szCs w:val="24"/>
        </w:rPr>
        <w:t>8.3</w:t>
      </w:r>
      <w:r>
        <w:rPr>
          <w:rFonts w:ascii="Times New Roman" w:hAnsi="Times New Roman" w:cs="Times New Roman"/>
          <w:iCs/>
          <w:sz w:val="24"/>
          <w:szCs w:val="24"/>
        </w:rPr>
        <w:fldChar w:fldCharType="end"/>
      </w:r>
      <w:r>
        <w:rPr>
          <w:rFonts w:ascii="Times New Roman" w:hAnsi="Times New Roman" w:cs="Times New Roman"/>
          <w:iCs/>
          <w:sz w:val="24"/>
          <w:szCs w:val="24"/>
        </w:rPr>
        <w:t>, a distribuição das quantidades para a execução descentralizada será por meio do remanejamento.</w:t>
      </w:r>
    </w:p>
    <w:p w14:paraId="019E62A2">
      <w:pPr>
        <w:pStyle w:val="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CANCELAMENTO DO REGISTRO DO LICITANTE VENCEDOR E DOS PREÇOS REGISTRADOS</w:t>
      </w:r>
      <w:bookmarkStart w:id="9" w:name="cancelamento"/>
      <w:bookmarkEnd w:id="9"/>
    </w:p>
    <w:p w14:paraId="7AA67C42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 registro do fornecedor será cancelado pelo gerenciador, quando o fornecedor:</w:t>
      </w:r>
      <w:bookmarkStart w:id="10" w:name="cancelamento_do_fornecedor"/>
      <w:bookmarkEnd w:id="10"/>
    </w:p>
    <w:p w14:paraId="2DFDC118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Descumprir as condições da ata de registro de preços, sem motivo justificado;</w:t>
      </w:r>
    </w:p>
    <w:p w14:paraId="5C8E4CDF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Não re</w:t>
      </w:r>
      <w:r>
        <w:rPr>
          <w:rFonts w:ascii="Times New Roman" w:hAnsi="Times New Roman" w:eastAsia="Arial" w:cs="Times New Roman"/>
          <w:iCs/>
          <w:sz w:val="24"/>
          <w:szCs w:val="24"/>
        </w:rPr>
        <w:t>ti</w:t>
      </w:r>
      <w:r>
        <w:rPr>
          <w:rFonts w:ascii="Times New Roman" w:hAnsi="Times New Roman" w:cs="Times New Roman"/>
          <w:iCs/>
          <w:sz w:val="24"/>
          <w:szCs w:val="24"/>
        </w:rPr>
        <w:t>rar a nota de empenho, ou instrumento equivalente, no prazo estabelecido pela Administração sem justificativa razoável;</w:t>
      </w:r>
    </w:p>
    <w:p w14:paraId="59864EA5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Não aceitar manter seu preço registrado, na hipótese prevista no artigo 27, § 2º, do Decreto nº 11.462, de 2023; ou</w:t>
      </w:r>
    </w:p>
    <w:p w14:paraId="0A1D68B8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Sofrer sanção prevista nos incisos III ou IV do caput do art. 156 da Lei nº 14.133, de 2021.</w:t>
      </w:r>
    </w:p>
    <w:p w14:paraId="07134DA8">
      <w:pPr>
        <w:pStyle w:val="41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 w14:paraId="4C4CE365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O cancelamento de registros nas hipóteses previstas no item </w:t>
      </w:r>
      <w:r>
        <w:rPr>
          <w:rFonts w:ascii="Times New Roman" w:hAnsi="Times New Roman" w:cs="Times New Roman"/>
          <w:iCs/>
          <w:sz w:val="24"/>
          <w:szCs w:val="24"/>
        </w:rPr>
        <w:fldChar w:fldCharType="begin"/>
      </w:r>
      <w:r>
        <w:rPr>
          <w:rFonts w:ascii="Times New Roman" w:hAnsi="Times New Roman" w:cs="Times New Roman"/>
          <w:iCs/>
          <w:sz w:val="24"/>
          <w:szCs w:val="24"/>
        </w:rPr>
        <w:instrText xml:space="preserve"> REF cancelamento_do_fornecedor \r \h  \* MERGEFORMAT </w:instrText>
      </w:r>
      <w:r>
        <w:rPr>
          <w:rFonts w:ascii="Times New Roman" w:hAnsi="Times New Roman" w:cs="Times New Roman"/>
          <w:iCs/>
          <w:sz w:val="24"/>
          <w:szCs w:val="24"/>
        </w:rPr>
        <w:fldChar w:fldCharType="separate"/>
      </w:r>
      <w:r>
        <w:rPr>
          <w:rFonts w:ascii="Times New Roman" w:hAnsi="Times New Roman" w:cs="Times New Roman"/>
          <w:iCs/>
          <w:sz w:val="24"/>
          <w:szCs w:val="24"/>
        </w:rPr>
        <w:t>9.1</w:t>
      </w:r>
      <w:r>
        <w:rPr>
          <w:rFonts w:ascii="Times New Roman" w:hAnsi="Times New Roman" w:cs="Times New Roman"/>
          <w:iCs/>
          <w:sz w:val="24"/>
          <w:szCs w:val="24"/>
        </w:rPr>
        <w:fldChar w:fldCharType="end"/>
      </w:r>
      <w:r>
        <w:rPr>
          <w:rFonts w:ascii="Times New Roman" w:hAnsi="Times New Roman" w:cs="Times New Roman"/>
          <w:iCs/>
          <w:sz w:val="24"/>
          <w:szCs w:val="24"/>
        </w:rPr>
        <w:t xml:space="preserve"> será formalizado por despacho do órgão ou da entidade gerenciadora, garantidos os princípios do contraditório e da ampla defesa.</w:t>
      </w:r>
    </w:p>
    <w:p w14:paraId="366FECAB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1" w:name="cancelamento_da_ata"/>
      <w:bookmarkEnd w:id="11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06FF1EB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Por razão de interesse público;</w:t>
      </w:r>
    </w:p>
    <w:p w14:paraId="776C5DC4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 pedido do fornecedor, decorrente de caso fortuito ou força maior; ou</w:t>
      </w:r>
    </w:p>
    <w:p w14:paraId="3A2062EA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 w14:paraId="4C26F493">
      <w:pPr>
        <w:pStyle w:val="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DAS PENALIDADES</w:t>
      </w:r>
    </w:p>
    <w:p w14:paraId="0D8190C9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 descumprimento da Ata de Registro de Preços ensejará aplicação das penalidades estabelecidas no edital.</w:t>
      </w:r>
    </w:p>
    <w:p w14:paraId="5307FC3C">
      <w:pPr>
        <w:pStyle w:val="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As sanções também se aplicam aos integrantes do cadastro de reserva no registro de preços que, convocados, não honrarem o compromisso assumido injustificadamente após terem assinado a ata. </w:t>
      </w:r>
    </w:p>
    <w:p w14:paraId="3E9C1948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 w14:paraId="0582A3B8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 w14:paraId="019E62B8">
      <w:pPr>
        <w:pStyle w:val="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CONDIÇÕES GERAIS</w:t>
      </w:r>
    </w:p>
    <w:p w14:paraId="019E62B9">
      <w:pPr>
        <w:pStyle w:val="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As condições gerais de execução do objeto, tais como os prazos para entrega e recebimento, as obrigações da Administração e do fornecedor registrado, penalidades e demais condições do ajuste, encontram-se definidos no Termo de Referência, ANEXO AO EDITAL</w:t>
      </w:r>
      <w:r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 </w:t>
      </w:r>
    </w:p>
    <w:p w14:paraId="019E62BE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 w:cs="Times New Roman"/>
          <w:iCs/>
          <w:color w:val="FF0000"/>
        </w:rPr>
      </w:pPr>
      <w:r>
        <w:rPr>
          <w:rFonts w:ascii="Times New Roman" w:hAnsi="Times New Roman" w:cs="Times New Roman"/>
          <w:iCs/>
        </w:rPr>
        <w:t xml:space="preserve">Para firmeza e validade do pactuado, a presente Ata foi lavrada em </w:t>
      </w:r>
      <w:r>
        <w:rPr>
          <w:rFonts w:ascii="Times New Roman" w:hAnsi="Times New Roman" w:cs="Times New Roman"/>
          <w:iCs/>
          <w:color w:val="FF0000"/>
        </w:rPr>
        <w:t xml:space="preserve">.... </w:t>
      </w:r>
      <w:r>
        <w:rPr>
          <w:rFonts w:ascii="Times New Roman" w:hAnsi="Times New Roman" w:cs="Times New Roman"/>
          <w:iCs/>
        </w:rPr>
        <w:t>(</w:t>
      </w:r>
      <w:r>
        <w:rPr>
          <w:rFonts w:ascii="Times New Roman" w:hAnsi="Times New Roman" w:cs="Times New Roman"/>
          <w:iCs/>
          <w:color w:val="FF0000"/>
        </w:rPr>
        <w:t>....</w:t>
      </w:r>
      <w:r>
        <w:rPr>
          <w:rFonts w:ascii="Times New Roman" w:hAnsi="Times New Roman" w:cs="Times New Roman"/>
          <w:iCs/>
        </w:rPr>
        <w:t xml:space="preserve">) vias de igual teor, que, depois de lida e achada em ordem, vai assinada pelas partes </w:t>
      </w:r>
    </w:p>
    <w:p w14:paraId="019E62B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Local e data</w:t>
      </w:r>
    </w:p>
    <w:p w14:paraId="019E62C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Assinaturas</w:t>
      </w:r>
    </w:p>
    <w:p w14:paraId="019E62C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</w:rPr>
        <w:t xml:space="preserve">Representante legal do órgão gerenciador e representante(s) legal(is) do(s) </w:t>
      </w:r>
      <w:r>
        <w:rPr>
          <w:rFonts w:ascii="Times New Roman" w:hAnsi="Times New Roman" w:cs="Times New Roman"/>
          <w:iCs/>
          <w:color w:val="000000"/>
        </w:rPr>
        <w:t>fornecedor(s) registrado(s)</w:t>
      </w:r>
    </w:p>
    <w:p w14:paraId="12B78ED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</w:p>
    <w:p w14:paraId="1D7A41B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</w:p>
    <w:p w14:paraId="21192F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iCs/>
          <w:color w:val="000000"/>
        </w:rPr>
      </w:pPr>
      <w:r>
        <w:rPr>
          <w:rFonts w:ascii="Times New Roman" w:hAnsi="Times New Roman" w:cs="Times New Roman"/>
          <w:b/>
          <w:iCs/>
          <w:color w:val="000000"/>
        </w:rPr>
        <w:t>Cadastro Reserva</w:t>
      </w:r>
    </w:p>
    <w:p w14:paraId="5692329A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</w:p>
    <w:p w14:paraId="66A898C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>Seguindo a ordem de classificação, segue relação de fornecedores que aceitaram cotar os itens com preços iguais ao adjudicatário:</w:t>
      </w:r>
    </w:p>
    <w:p w14:paraId="6812E38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</w:p>
    <w:tbl>
      <w:tblPr>
        <w:tblStyle w:val="4"/>
        <w:tblW w:w="9392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14:paraId="7F6416D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4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550CCC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Item</w:t>
            </w:r>
          </w:p>
          <w:p w14:paraId="57CD6B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do</w:t>
            </w:r>
          </w:p>
          <w:p w14:paraId="7EAF57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BE63F7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Fornecedor </w:t>
            </w:r>
            <w:r>
              <w:rPr>
                <w:rFonts w:ascii="Times New Roman" w:hAnsi="Times New Roman" w:cs="Times New Roman"/>
                <w:iCs/>
                <w:color w:val="FF0000"/>
              </w:rPr>
              <w:t>(razão social, CNPJ/MF, endereço, contatos, representante)</w:t>
            </w:r>
          </w:p>
          <w:p w14:paraId="0B1D557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14:paraId="5CFA171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4" w:hRule="atLeast"/>
        </w:trPr>
        <w:tc>
          <w:tcPr>
            <w:tcW w:w="49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vAlign w:val="center"/>
          </w:tcPr>
          <w:p w14:paraId="3DCCE57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788BB1E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223533E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Marca </w:t>
            </w:r>
          </w:p>
          <w:p w14:paraId="6E13F88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F316EC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Modelo</w:t>
            </w:r>
          </w:p>
          <w:p w14:paraId="7674140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5E30FF7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18C4AD8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41EA3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17C2EF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C5BE8A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Prazo garantia ou validade</w:t>
            </w:r>
          </w:p>
        </w:tc>
      </w:tr>
      <w:tr w14:paraId="7E8BFB1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" w:hRule="atLeast"/>
        </w:trPr>
        <w:tc>
          <w:tcPr>
            <w:tcW w:w="49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54392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3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17205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4EFC1BC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38C1613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6DBB4FA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45EB76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53CA55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32A1359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D91699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</w:tbl>
    <w:p w14:paraId="730B9BD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</w:p>
    <w:p w14:paraId="14E19B4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</w:p>
    <w:p w14:paraId="645CE58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</w:p>
    <w:p w14:paraId="24AE76A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>Seguindo a ordem de classificação, segue relação de fornecedores que mantiveram sua proposta original:</w:t>
      </w:r>
    </w:p>
    <w:p w14:paraId="540B958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</w:p>
    <w:tbl>
      <w:tblPr>
        <w:tblStyle w:val="4"/>
        <w:tblW w:w="9392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14:paraId="292F829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22F40B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Item</w:t>
            </w:r>
          </w:p>
          <w:p w14:paraId="39D321D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do</w:t>
            </w:r>
          </w:p>
          <w:p w14:paraId="73C73CF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CAA50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Fornecedor </w:t>
            </w:r>
            <w:r>
              <w:rPr>
                <w:rFonts w:ascii="Times New Roman" w:hAnsi="Times New Roman" w:cs="Times New Roman"/>
                <w:iCs/>
                <w:color w:val="FF0000"/>
              </w:rPr>
              <w:t>(razão social, CNPJ/MF, endereço, contatos, representante)</w:t>
            </w:r>
          </w:p>
          <w:p w14:paraId="6CD4578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14:paraId="1F629E3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4" w:hRule="atLeast"/>
        </w:trPr>
        <w:tc>
          <w:tcPr>
            <w:tcW w:w="696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vAlign w:val="center"/>
          </w:tcPr>
          <w:p w14:paraId="1EB1573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146A83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554C9F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Marca </w:t>
            </w:r>
          </w:p>
          <w:p w14:paraId="777FD60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7E42858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Modelo</w:t>
            </w:r>
          </w:p>
          <w:p w14:paraId="5908CA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41526C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122537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8D80EC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53BB95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E70907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Prazo garantia ou validade</w:t>
            </w:r>
          </w:p>
        </w:tc>
      </w:tr>
      <w:tr w14:paraId="06B3724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" w:hRule="atLeast"/>
        </w:trPr>
        <w:tc>
          <w:tcPr>
            <w:tcW w:w="696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255B6E6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3FA8476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35C730C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35A7024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630F62A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6048094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699424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091B62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105CDC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</w:tbl>
    <w:p w14:paraId="6760508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iCs/>
          <w:color w:val="000000"/>
        </w:rPr>
      </w:pPr>
    </w:p>
    <w:sectPr>
      <w:headerReference r:id="rId3" w:type="default"/>
      <w:pgSz w:w="11906" w:h="16838"/>
      <w:pgMar w:top="1418" w:right="1134" w:bottom="568" w:left="1701" w:header="708" w:footer="261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AF881">
    <w:pPr>
      <w:tabs>
        <w:tab w:val="left" w:pos="2694"/>
      </w:tabs>
      <w:rPr>
        <w:rFonts w:ascii="Verdana" w:hAnsi="Verdana"/>
      </w:rPr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-59055</wp:posOffset>
          </wp:positionV>
          <wp:extent cx="638175" cy="752475"/>
          <wp:effectExtent l="0" t="0" r="9525" b="9525"/>
          <wp:wrapNone/>
          <wp:docPr id="1" name="Imagem 1" descr="Descrição: brasão da Portal da Prefeitura Municipal de Nova Sour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Descrição: brasão da Portal da Prefeitura Municipal de Nova Sour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</w:rPr>
      <w:t xml:space="preserve">                                 ESTADO DA BAHIA</w:t>
    </w:r>
  </w:p>
  <w:p w14:paraId="1C8C55D7">
    <w:pPr>
      <w:tabs>
        <w:tab w:val="left" w:pos="585"/>
        <w:tab w:val="center" w:pos="4890"/>
      </w:tabs>
      <w:rPr>
        <w:rFonts w:ascii="Verdana" w:hAnsi="Verdana"/>
      </w:rPr>
    </w:pPr>
    <w:r>
      <w:rPr>
        <w:rFonts w:ascii="Verdana" w:hAnsi="Verdana"/>
      </w:rPr>
      <w:t xml:space="preserve">                  PREFEITURA MUNICIPAL DE NOVA SOURE</w:t>
    </w:r>
  </w:p>
  <w:p w14:paraId="4EC5DEF0">
    <w:pPr>
      <w:pStyle w:val="9"/>
      <w:tabs>
        <w:tab w:val="left" w:pos="1122"/>
      </w:tabs>
      <w:rPr>
        <w:rFonts w:ascii="Verdana" w:hAnsi="Verdana"/>
      </w:rPr>
    </w:pPr>
    <w:r>
      <w:rPr>
        <w:rFonts w:ascii="Verdana" w:hAnsi="Verdana"/>
      </w:rPr>
      <w:t xml:space="preserve">                          PODER EXECUTIVO MUNICIPAL</w:t>
    </w:r>
  </w:p>
  <w:p w14:paraId="1806821E">
    <w:pPr>
      <w:rPr>
        <w:rFonts w:ascii="Verdana" w:hAnsi="Verdana"/>
        <w:caps/>
      </w:rPr>
    </w:pPr>
    <w:r>
      <w:rPr>
        <w:rFonts w:ascii="Verdana" w:hAnsi="Verdana"/>
        <w:caps/>
      </w:rPr>
      <w:t xml:space="preserve">                     SETOR DE LICITAÇÕES E CONTRATOS</w:t>
    </w:r>
  </w:p>
  <w:p w14:paraId="010B544C"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83857"/>
    <w:multiLevelType w:val="multilevel"/>
    <w:tmpl w:val="11983857"/>
    <w:lvl w:ilvl="0" w:tentative="0">
      <w:start w:val="1"/>
      <w:numFmt w:val="decimal"/>
      <w:pStyle w:val="26"/>
      <w:lvlText w:val="%1."/>
      <w:lvlJc w:val="left"/>
      <w:pPr>
        <w:ind w:left="360" w:hanging="360"/>
      </w:pPr>
      <w:rPr>
        <w:b/>
        <w:color w:val="auto"/>
      </w:rPr>
    </w:lvl>
    <w:lvl w:ilvl="1" w:tentative="0">
      <w:start w:val="1"/>
      <w:numFmt w:val="decimal"/>
      <w:pStyle w:val="32"/>
      <w:lvlText w:val="%1.%2."/>
      <w:lvlJc w:val="left"/>
      <w:pPr>
        <w:ind w:left="1283" w:hanging="432"/>
      </w:pPr>
      <w:rPr>
        <w:sz w:val="20"/>
        <w:szCs w:val="20"/>
      </w:rPr>
    </w:lvl>
    <w:lvl w:ilvl="2" w:tentative="0">
      <w:start w:val="1"/>
      <w:numFmt w:val="decimal"/>
      <w:pStyle w:val="38"/>
      <w:lvlText w:val="%1.%2.%3."/>
      <w:lvlJc w:val="left"/>
      <w:pPr>
        <w:ind w:left="1497" w:hanging="504"/>
      </w:pPr>
    </w:lvl>
    <w:lvl w:ilvl="3" w:tentative="0">
      <w:start w:val="1"/>
      <w:numFmt w:val="decimal"/>
      <w:pStyle w:val="41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1651"/>
    <w:rsid w:val="00063172"/>
    <w:rsid w:val="00066588"/>
    <w:rsid w:val="00071D2C"/>
    <w:rsid w:val="0007424F"/>
    <w:rsid w:val="000814F3"/>
    <w:rsid w:val="00081CA0"/>
    <w:rsid w:val="00084A47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C48C4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4326"/>
    <w:rsid w:val="00227D9C"/>
    <w:rsid w:val="0024073D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7745D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3CA0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3B60"/>
    <w:rsid w:val="0047752E"/>
    <w:rsid w:val="0048050E"/>
    <w:rsid w:val="004811E3"/>
    <w:rsid w:val="00484F4D"/>
    <w:rsid w:val="004877CF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C2394"/>
    <w:rsid w:val="004D0365"/>
    <w:rsid w:val="004D70CF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6B10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226B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2491A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E3D77"/>
    <w:rsid w:val="006F4AD1"/>
    <w:rsid w:val="006F5010"/>
    <w:rsid w:val="00700A54"/>
    <w:rsid w:val="00703FD0"/>
    <w:rsid w:val="0071081A"/>
    <w:rsid w:val="00716FC7"/>
    <w:rsid w:val="0072377B"/>
    <w:rsid w:val="00726DF8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0B73"/>
    <w:rsid w:val="00851AEB"/>
    <w:rsid w:val="00866CC7"/>
    <w:rsid w:val="00870788"/>
    <w:rsid w:val="00870CF6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121B3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A3A75"/>
    <w:rsid w:val="009B6143"/>
    <w:rsid w:val="009C5E2C"/>
    <w:rsid w:val="009C76A5"/>
    <w:rsid w:val="009C7812"/>
    <w:rsid w:val="009D3DB6"/>
    <w:rsid w:val="009D3F70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C4552"/>
    <w:rsid w:val="00AD1FC3"/>
    <w:rsid w:val="00AD2325"/>
    <w:rsid w:val="00AE076C"/>
    <w:rsid w:val="00AF2BFF"/>
    <w:rsid w:val="00B03460"/>
    <w:rsid w:val="00B05AF8"/>
    <w:rsid w:val="00B064D8"/>
    <w:rsid w:val="00B0678A"/>
    <w:rsid w:val="00B10156"/>
    <w:rsid w:val="00B15B12"/>
    <w:rsid w:val="00B16A5B"/>
    <w:rsid w:val="00B16E35"/>
    <w:rsid w:val="00B234D0"/>
    <w:rsid w:val="00B27434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75DCA"/>
    <w:rsid w:val="00B829AB"/>
    <w:rsid w:val="00B85E10"/>
    <w:rsid w:val="00B86157"/>
    <w:rsid w:val="00B865F5"/>
    <w:rsid w:val="00B92BCC"/>
    <w:rsid w:val="00B94E10"/>
    <w:rsid w:val="00BB5309"/>
    <w:rsid w:val="00BB7895"/>
    <w:rsid w:val="00BC04F6"/>
    <w:rsid w:val="00BC690B"/>
    <w:rsid w:val="00BC6F6E"/>
    <w:rsid w:val="00BE0ED4"/>
    <w:rsid w:val="00BE2A53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346DC"/>
    <w:rsid w:val="00C44D47"/>
    <w:rsid w:val="00C47DB0"/>
    <w:rsid w:val="00C507A4"/>
    <w:rsid w:val="00C5111B"/>
    <w:rsid w:val="00C528AC"/>
    <w:rsid w:val="00C56ABC"/>
    <w:rsid w:val="00C63E3D"/>
    <w:rsid w:val="00C65004"/>
    <w:rsid w:val="00C702CC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71088"/>
    <w:rsid w:val="00E8683B"/>
    <w:rsid w:val="00E90D8C"/>
    <w:rsid w:val="00E92373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1B60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979C9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19684D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semiHidden="0" w:name="annotation text"/>
    <w:lsdException w:uiPriority="0" w:semiHidden="0" w:name="header"/>
    <w:lsdException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34" w:semiHidden="0" w:name="List Paragraph"/>
    <w:lsdException w:qFormat="1" w:unhideWhenUsed="0" w:uiPriority="29" w:semiHidden="0" w:name="Quote"/>
  </w:latentStyles>
  <w:style w:type="paragraph" w:default="1" w:styleId="1">
    <w:name w:val="Normal"/>
    <w:uiPriority w:val="0"/>
    <w:rPr>
      <w:rFonts w:ascii="Ecofont_Spranq_eco_Sans" w:hAnsi="Ecofont_Spranq_eco_Sans" w:eastAsia="Times New Roman" w:cs="Tahoma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link w:val="24"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annotation reference"/>
    <w:basedOn w:val="3"/>
    <w:semiHidden/>
    <w:unhideWhenUsed/>
    <w:uiPriority w:val="0"/>
    <w:rPr>
      <w:sz w:val="16"/>
      <w:szCs w:val="16"/>
    </w:rPr>
  </w:style>
  <w:style w:type="character" w:styleId="6">
    <w:name w:val="Hyperlink"/>
    <w:unhideWhenUsed/>
    <w:uiPriority w:val="99"/>
    <w:rPr>
      <w:color w:val="0000FF"/>
      <w:u w:val="single"/>
    </w:rPr>
  </w:style>
  <w:style w:type="paragraph" w:styleId="7">
    <w:name w:val="Body Text"/>
    <w:basedOn w:val="1"/>
    <w:link w:val="15"/>
    <w:unhideWhenUsed/>
    <w:uiPriority w:val="9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8">
    <w:name w:val="annotation text"/>
    <w:basedOn w:val="1"/>
    <w:link w:val="27"/>
    <w:unhideWhenUsed/>
    <w:uiPriority w:val="0"/>
    <w:rPr>
      <w:sz w:val="20"/>
      <w:szCs w:val="20"/>
    </w:rPr>
  </w:style>
  <w:style w:type="paragraph" w:styleId="9">
    <w:name w:val="header"/>
    <w:basedOn w:val="1"/>
    <w:link w:val="17"/>
    <w:unhideWhenUsed/>
    <w:uiPriority w:val="0"/>
    <w:pPr>
      <w:tabs>
        <w:tab w:val="center" w:pos="4252"/>
        <w:tab w:val="right" w:pos="8504"/>
      </w:tabs>
    </w:pPr>
  </w:style>
  <w:style w:type="paragraph" w:styleId="10">
    <w:name w:val="annotation subject"/>
    <w:basedOn w:val="8"/>
    <w:next w:val="8"/>
    <w:link w:val="28"/>
    <w:semiHidden/>
    <w:unhideWhenUsed/>
    <w:uiPriority w:val="0"/>
    <w:rPr>
      <w:b/>
      <w:bCs/>
    </w:rPr>
  </w:style>
  <w:style w:type="paragraph" w:styleId="11">
    <w:name w:val="footer"/>
    <w:basedOn w:val="1"/>
    <w:link w:val="18"/>
    <w:unhideWhenUsed/>
    <w:uiPriority w:val="99"/>
    <w:pPr>
      <w:tabs>
        <w:tab w:val="center" w:pos="4252"/>
        <w:tab w:val="right" w:pos="8504"/>
      </w:tabs>
    </w:pPr>
  </w:style>
  <w:style w:type="paragraph" w:styleId="12">
    <w:name w:val="Balloon Text"/>
    <w:basedOn w:val="1"/>
    <w:link w:val="29"/>
    <w:semiHidden/>
    <w:unhideWhenUsed/>
    <w:uiPriority w:val="0"/>
    <w:rPr>
      <w:rFonts w:ascii="Segoe UI" w:hAnsi="Segoe UI" w:cs="Segoe UI"/>
      <w:sz w:val="18"/>
      <w:szCs w:val="18"/>
    </w:rPr>
  </w:style>
  <w:style w:type="paragraph" w:customStyle="1" w:styleId="13">
    <w:name w:val="Grade Colorida - Ênfase 11"/>
    <w:basedOn w:val="1"/>
    <w:next w:val="1"/>
    <w:link w:val="14"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14">
    <w:name w:val="Grade Colorida - Ênfase 1 Char"/>
    <w:link w:val="13"/>
    <w:uiPriority w:val="0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customStyle="1" w:styleId="15">
    <w:name w:val="Corpo de texto Char"/>
    <w:link w:val="7"/>
    <w:uiPriority w:val="99"/>
    <w:rPr>
      <w:sz w:val="24"/>
      <w:szCs w:val="24"/>
    </w:rPr>
  </w:style>
  <w:style w:type="paragraph" w:styleId="16">
    <w:name w:val="List Paragraph"/>
    <w:basedOn w:val="1"/>
    <w:uiPriority w:val="34"/>
    <w:pPr>
      <w:ind w:left="720"/>
      <w:contextualSpacing/>
    </w:pPr>
  </w:style>
  <w:style w:type="character" w:customStyle="1" w:styleId="17">
    <w:name w:val="Cabeçalho Char"/>
    <w:basedOn w:val="3"/>
    <w:link w:val="9"/>
    <w:qFormat/>
    <w:uiPriority w:val="0"/>
    <w:rPr>
      <w:rFonts w:ascii="Ecofont_Spranq_eco_Sans" w:hAnsi="Ecofont_Spranq_eco_Sans" w:cs="Tahoma"/>
      <w:sz w:val="24"/>
      <w:szCs w:val="24"/>
    </w:rPr>
  </w:style>
  <w:style w:type="character" w:customStyle="1" w:styleId="18">
    <w:name w:val="Rodapé Char"/>
    <w:basedOn w:val="3"/>
    <w:link w:val="11"/>
    <w:qFormat/>
    <w:uiPriority w:val="99"/>
    <w:rPr>
      <w:rFonts w:ascii="Ecofont_Spranq_eco_Sans" w:hAnsi="Ecofont_Spranq_eco_Sans" w:cs="Tahoma"/>
      <w:sz w:val="24"/>
      <w:szCs w:val="24"/>
    </w:rPr>
  </w:style>
  <w:style w:type="paragraph" w:customStyle="1" w:styleId="19">
    <w:name w:val="citação 2"/>
    <w:basedOn w:val="20"/>
    <w:link w:val="21"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20">
    <w:name w:val="Quote"/>
    <w:basedOn w:val="1"/>
    <w:next w:val="1"/>
    <w:link w:val="22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21">
    <w:name w:val="citação 2 Char"/>
    <w:basedOn w:val="22"/>
    <w:link w:val="19"/>
    <w:qFormat/>
    <w:uiPriority w:val="0"/>
    <w:rPr>
      <w:rFonts w:ascii="Ecofont_Spranq_eco_Sans" w:hAnsi="Ecofont_Spranq_eco_Sans" w:eastAsia="Calibri" w:cs="Tahoma"/>
      <w:color w:val="000000"/>
      <w:sz w:val="24"/>
      <w:szCs w:val="24"/>
      <w:shd w:val="clear" w:color="auto" w:fill="FFFFCC"/>
      <w:lang w:eastAsia="en-US"/>
    </w:rPr>
  </w:style>
  <w:style w:type="character" w:customStyle="1" w:styleId="22">
    <w:name w:val="Citação Char"/>
    <w:basedOn w:val="3"/>
    <w:link w:val="20"/>
    <w:uiPriority w:val="29"/>
    <w:rPr>
      <w:rFonts w:ascii="Ecofont_Spranq_eco_Sans" w:hAnsi="Ecofont_Spranq_eco_Sans" w:cs="Tahoma"/>
      <w:i/>
      <w:iCs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customStyle="1" w:styleId="23">
    <w:name w:val="Nivel1"/>
    <w:basedOn w:val="2"/>
    <w:next w:val="1"/>
    <w:link w:val="25"/>
    <w:uiPriority w:val="0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24">
    <w:name w:val="Título 1 Char"/>
    <w:basedOn w:val="3"/>
    <w:link w:val="2"/>
    <w:uiPriority w:val="0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5">
    <w:name w:val="Nivel1 Char"/>
    <w:basedOn w:val="24"/>
    <w:link w:val="23"/>
    <w:uiPriority w:val="0"/>
    <w:rPr>
      <w:rFonts w:ascii="Arial" w:hAnsi="Arial" w:cs="Arial" w:eastAsiaTheme="majorEastAsia"/>
      <w:color w:val="376092" w:themeColor="accent1" w:themeShade="BF"/>
      <w:sz w:val="28"/>
      <w:szCs w:val="28"/>
    </w:rPr>
  </w:style>
  <w:style w:type="paragraph" w:customStyle="1" w:styleId="26">
    <w:name w:val="Nivel 01"/>
    <w:basedOn w:val="2"/>
    <w:next w:val="1"/>
    <w:link w:val="31"/>
    <w:qFormat/>
    <w:uiPriority w:val="0"/>
    <w:pPr>
      <w:numPr>
        <w:ilvl w:val="0"/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customStyle="1" w:styleId="27">
    <w:name w:val="Texto de comentário Char"/>
    <w:basedOn w:val="3"/>
    <w:link w:val="8"/>
    <w:uiPriority w:val="0"/>
    <w:rPr>
      <w:rFonts w:ascii="Ecofont_Spranq_eco_Sans" w:hAnsi="Ecofont_Spranq_eco_Sans" w:cs="Tahoma"/>
    </w:rPr>
  </w:style>
  <w:style w:type="character" w:customStyle="1" w:styleId="28">
    <w:name w:val="Assunto do comentário Char"/>
    <w:basedOn w:val="27"/>
    <w:link w:val="10"/>
    <w:semiHidden/>
    <w:uiPriority w:val="0"/>
    <w:rPr>
      <w:rFonts w:ascii="Ecofont_Spranq_eco_Sans" w:hAnsi="Ecofont_Spranq_eco_Sans" w:cs="Tahoma"/>
      <w:b/>
      <w:bCs/>
    </w:rPr>
  </w:style>
  <w:style w:type="character" w:customStyle="1" w:styleId="29">
    <w:name w:val="Texto de balão Char"/>
    <w:basedOn w:val="3"/>
    <w:link w:val="12"/>
    <w:semiHidden/>
    <w:uiPriority w:val="0"/>
    <w:rPr>
      <w:rFonts w:ascii="Segoe UI" w:hAnsi="Segoe UI" w:cs="Segoe UI"/>
      <w:sz w:val="18"/>
      <w:szCs w:val="18"/>
    </w:rPr>
  </w:style>
  <w:style w:type="paragraph" w:customStyle="1" w:styleId="30">
    <w:name w:val="Revision"/>
    <w:hidden/>
    <w:semiHidden/>
    <w:uiPriority w:val="99"/>
    <w:rPr>
      <w:rFonts w:ascii="Ecofont_Spranq_eco_Sans" w:hAnsi="Ecofont_Spranq_eco_Sans" w:eastAsia="Times New Roman" w:cs="Tahoma"/>
      <w:sz w:val="24"/>
      <w:szCs w:val="24"/>
      <w:lang w:val="pt-BR" w:eastAsia="pt-BR" w:bidi="ar-SA"/>
    </w:rPr>
  </w:style>
  <w:style w:type="character" w:customStyle="1" w:styleId="31">
    <w:name w:val="Nivel 01 Char"/>
    <w:basedOn w:val="3"/>
    <w:link w:val="26"/>
    <w:uiPriority w:val="0"/>
    <w:rPr>
      <w:rFonts w:ascii="Arial" w:hAnsi="Arial" w:cs="Arial" w:eastAsiaTheme="majorEastAsia"/>
      <w:b/>
      <w:bCs/>
      <w:lang w:eastAsia="en-US"/>
    </w:rPr>
  </w:style>
  <w:style w:type="paragraph" w:customStyle="1" w:styleId="32">
    <w:name w:val="Nivel 2"/>
    <w:basedOn w:val="1"/>
    <w:link w:val="33"/>
    <w:qFormat/>
    <w:uiPriority w:val="0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33">
    <w:name w:val="Nivel 2 Char"/>
    <w:basedOn w:val="3"/>
    <w:link w:val="32"/>
    <w:locked/>
    <w:uiPriority w:val="0"/>
    <w:rPr>
      <w:rFonts w:ascii="Arial" w:hAnsi="Arial" w:cs="Arial"/>
    </w:rPr>
  </w:style>
  <w:style w:type="paragraph" w:customStyle="1" w:styleId="34">
    <w:name w:val="Nível 2 -Red"/>
    <w:basedOn w:val="32"/>
    <w:link w:val="35"/>
    <w:qFormat/>
    <w:uiPriority w:val="0"/>
    <w:rPr>
      <w:i/>
      <w:iCs/>
      <w:color w:val="FF0000"/>
    </w:rPr>
  </w:style>
  <w:style w:type="character" w:customStyle="1" w:styleId="35">
    <w:name w:val="Nível 2 -Red Char"/>
    <w:basedOn w:val="33"/>
    <w:link w:val="34"/>
    <w:uiPriority w:val="0"/>
    <w:rPr>
      <w:rFonts w:ascii="Arial" w:hAnsi="Arial" w:cs="Arial"/>
      <w:i/>
      <w:iCs/>
      <w:color w:val="FF0000"/>
    </w:rPr>
  </w:style>
  <w:style w:type="paragraph" w:customStyle="1" w:styleId="36">
    <w:name w:val="ou"/>
    <w:basedOn w:val="16"/>
    <w:link w:val="37"/>
    <w:qFormat/>
    <w:uiPriority w:val="0"/>
    <w:pPr>
      <w:spacing w:before="60" w:after="60" w:line="259" w:lineRule="auto"/>
      <w:ind w:left="0"/>
      <w:contextualSpacing w:val="0"/>
      <w:jc w:val="center"/>
    </w:pPr>
    <w:rPr>
      <w:rFonts w:ascii="Arial" w:hAnsi="Arial" w:cs="Arial" w:eastAsiaTheme="minorHAnsi"/>
      <w:b/>
      <w:bCs/>
      <w:i/>
      <w:iCs/>
      <w:color w:val="FF0000"/>
      <w:sz w:val="20"/>
      <w:u w:val="single"/>
    </w:rPr>
  </w:style>
  <w:style w:type="character" w:customStyle="1" w:styleId="37">
    <w:name w:val="ou Char"/>
    <w:basedOn w:val="3"/>
    <w:link w:val="36"/>
    <w:uiPriority w:val="0"/>
    <w:rPr>
      <w:rFonts w:ascii="Arial" w:hAnsi="Arial" w:cs="Arial" w:eastAsiaTheme="minorHAnsi"/>
      <w:b/>
      <w:bCs/>
      <w:i/>
      <w:iCs/>
      <w:color w:val="FF0000"/>
      <w:szCs w:val="24"/>
      <w:u w:val="single"/>
    </w:rPr>
  </w:style>
  <w:style w:type="paragraph" w:customStyle="1" w:styleId="38">
    <w:name w:val="Nível 3-R"/>
    <w:basedOn w:val="1"/>
    <w:link w:val="39"/>
    <w:qFormat/>
    <w:uiPriority w:val="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 w:eastAsiaTheme="minorEastAsia"/>
      <w:i/>
      <w:iCs/>
      <w:color w:val="FF0000"/>
      <w:sz w:val="20"/>
      <w:szCs w:val="20"/>
    </w:rPr>
  </w:style>
  <w:style w:type="character" w:customStyle="1" w:styleId="39">
    <w:name w:val="Nível 3-R Char"/>
    <w:basedOn w:val="3"/>
    <w:link w:val="38"/>
    <w:uiPriority w:val="0"/>
    <w:rPr>
      <w:rFonts w:ascii="Arial" w:hAnsi="Arial" w:cs="Arial" w:eastAsiaTheme="minorEastAsia"/>
      <w:i/>
      <w:iCs/>
      <w:color w:val="FF0000"/>
    </w:rPr>
  </w:style>
  <w:style w:type="paragraph" w:customStyle="1" w:styleId="40">
    <w:name w:val="Nível 3"/>
    <w:basedOn w:val="38"/>
    <w:link w:val="42"/>
    <w:qFormat/>
    <w:uiPriority w:val="0"/>
    <w:rPr>
      <w:rFonts w:eastAsia="Times New Roman"/>
      <w:i w:val="0"/>
      <w:iCs w:val="0"/>
      <w:color w:val="auto"/>
    </w:rPr>
  </w:style>
  <w:style w:type="paragraph" w:customStyle="1" w:styleId="41">
    <w:name w:val="Nível 4"/>
    <w:basedOn w:val="40"/>
    <w:link w:val="44"/>
    <w:qFormat/>
    <w:uiPriority w:val="0"/>
    <w:pPr>
      <w:numPr>
        <w:ilvl w:val="3"/>
      </w:numPr>
      <w:ind w:left="567" w:firstLine="0"/>
    </w:pPr>
  </w:style>
  <w:style w:type="character" w:customStyle="1" w:styleId="42">
    <w:name w:val="Nível 3 Char"/>
    <w:basedOn w:val="39"/>
    <w:link w:val="40"/>
    <w:uiPriority w:val="0"/>
    <w:rPr>
      <w:rFonts w:ascii="Arial" w:hAnsi="Arial" w:cs="Arial" w:eastAsiaTheme="minorEastAsia"/>
      <w:i w:val="0"/>
      <w:iCs w:val="0"/>
      <w:color w:val="FF0000"/>
    </w:rPr>
  </w:style>
  <w:style w:type="paragraph" w:customStyle="1" w:styleId="43">
    <w:name w:val="SubTitNN"/>
    <w:basedOn w:val="1"/>
    <w:link w:val="45"/>
    <w:qFormat/>
    <w:uiPriority w:val="0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44">
    <w:name w:val="Nível 4 Char"/>
    <w:basedOn w:val="42"/>
    <w:link w:val="41"/>
    <w:uiPriority w:val="0"/>
    <w:rPr>
      <w:rFonts w:ascii="Arial" w:hAnsi="Arial" w:cs="Arial" w:eastAsiaTheme="minorEastAsia"/>
      <w:color w:val="FF0000"/>
    </w:rPr>
  </w:style>
  <w:style w:type="character" w:customStyle="1" w:styleId="45">
    <w:name w:val="SubTitNN Char"/>
    <w:basedOn w:val="3"/>
    <w:link w:val="43"/>
    <w:uiPriority w:val="0"/>
    <w:rPr>
      <w:rFonts w:ascii="Arial" w:hAnsi="Arial" w:cs="Arial"/>
      <w:b/>
      <w:bCs/>
      <w:i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novasoure.ba.gov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1BF10-BA21-41FC-B966-68D460302E98}">
  <ds:schemaRefs/>
</ds:datastoreItem>
</file>

<file path=customXml/itemProps2.xml><?xml version="1.0" encoding="utf-8"?>
<ds:datastoreItem xmlns:ds="http://schemas.openxmlformats.org/officeDocument/2006/customXml" ds:itemID="{2E413F30-1464-43D5-A034-C65A5C7E8894}">
  <ds:schemaRefs/>
</ds:datastoreItem>
</file>

<file path=customXml/itemProps3.xml><?xml version="1.0" encoding="utf-8"?>
<ds:datastoreItem xmlns:ds="http://schemas.openxmlformats.org/officeDocument/2006/customXml" ds:itemID="{2E25EC95-ACBE-471F-8A2A-0FB43AE14061}">
  <ds:schemaRefs/>
</ds:datastoreItem>
</file>

<file path=customXml/itemProps4.xml><?xml version="1.0" encoding="utf-8"?>
<ds:datastoreItem xmlns:ds="http://schemas.openxmlformats.org/officeDocument/2006/customXml" ds:itemID="{384269E5-3F4A-46A6-9868-DF427E392C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2944</Words>
  <Characters>15903</Characters>
  <Lines>132</Lines>
  <Paragraphs>37</Paragraphs>
  <TotalTime>2</TotalTime>
  <ScaleCrop>false</ScaleCrop>
  <LinksUpToDate>false</LinksUpToDate>
  <CharactersWithSpaces>18810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2024-12-27T14:05:00Z</dcterms:created>
  <dc:creator>User</dc:creator>
  <cp:lastModifiedBy>darllyson.henrique</cp:lastModifiedBy>
  <dcterms:modified xsi:type="dcterms:W3CDTF">2025-07-11T12:47:23Z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KSOProductBuildVer">
    <vt:lpwstr>1046-12.2.0.21931</vt:lpwstr>
  </property>
  <property fmtid="{D5CDD505-2E9C-101B-9397-08002B2CF9AE}" pid="4" name="ICV">
    <vt:lpwstr>D5E24A3278FB49F494191B3E8881A3A4_13</vt:lpwstr>
  </property>
</Properties>
</file>